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284"/>
        <w:gridCol w:w="4529"/>
      </w:tblGrid>
      <w:tr w:rsidR="00555472" w:rsidRPr="00CB3229" w:rsidTr="00372055">
        <w:trPr>
          <w:trHeight w:val="3220"/>
        </w:trPr>
        <w:tc>
          <w:tcPr>
            <w:tcW w:w="4531" w:type="dxa"/>
            <w:gridSpan w:val="2"/>
          </w:tcPr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Краска для пола 1К Hagmans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— это простая в использовании прочная диффузионная краска с хорошей стойкостью цвета и глянца. Краска для пола 1К Hagmans — это водно-дисперсионная краска на основе полиуретана и акрилата. ПРИМЕЧАНИЕ: деревянные основания; использовать только в помещениях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! В первую очередь краска предназначена для окрашивания бетонных поверхностей пола и стен внутри и вне помещения. Также она может использоваться для окрашивания деревянных поверхностей и ДВП. Продукт подходит для покраски поверхностей в жилых домах и комме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рческих помещениях, не подвергающихся сильной нагрузке. Поскольку краска обладает хорошими диффузионными характеристиками, она подходит для окраски полов, укладываемых непосредственно на землю.  Для улучшения грязеотталкивающих свойств покрытия используйте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бесцветный лак 1К (Clear Lacquer 1K). Для помещений, в которых работают с химическими реагентами, рекомендуется использовать Hagmans Golvfärg EP-V.</w:t>
            </w:r>
          </w:p>
        </w:tc>
        <w:tc>
          <w:tcPr>
            <w:tcW w:w="284" w:type="dxa"/>
          </w:tcPr>
          <w:p w:rsidR="00637D6C" w:rsidRPr="00CB3229" w:rsidRDefault="00E72308" w:rsidP="0094176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 w:val="restart"/>
          </w:tcPr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При нанесении покрытия на существующую краску поверхность должна быть отшлифована до матового состояния, а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шелушащаяся краска удалена.</w:t>
            </w: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Нанесение: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Пользуйтесь кистью или валиком. Наносится в два слоя. При грунтовании впитывающих основ разбавьте краску с 20% воды. Обеспечьте хорошую вентиляцию. При влажности более 85% может получиться матовая и неоднородная пов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ерхность. Кисти и другие инструменты помойте в воде. Температура поверхности должна быть не ниже +5°C.</w:t>
            </w: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Упаковка: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1 л, 4 л, 10 л.</w:t>
            </w: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Цвета: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См. карту цветов. Для получения дополнительной информации см. паспорт продукта.</w:t>
            </w:r>
          </w:p>
          <w:p w:rsidR="00372055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372055" w:rsidRPr="00CB3229" w:rsidRDefault="00E72308" w:rsidP="0037205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noProof/>
                <w:sz w:val="20"/>
                <w:lang w:eastAsia="ru-RU"/>
              </w:rPr>
              <w:drawing>
                <wp:inline distT="0" distB="0" distL="0" distR="0" wp14:anchorId="1FD44B67" wp14:editId="2E5D7946">
                  <wp:extent cx="2560485" cy="1110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90" cy="112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72" w:rsidRPr="00CB3229" w:rsidTr="00372055">
        <w:tc>
          <w:tcPr>
            <w:tcW w:w="4531" w:type="dxa"/>
            <w:gridSpan w:val="2"/>
          </w:tcPr>
          <w:p w:rsidR="00637D6C" w:rsidRPr="00CB3229" w:rsidRDefault="00E72308" w:rsidP="00F355C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c>
          <w:tcPr>
            <w:tcW w:w="4531" w:type="dxa"/>
            <w:gridSpan w:val="2"/>
          </w:tcPr>
          <w:p w:rsidR="00637D6C" w:rsidRPr="00CB3229" w:rsidRDefault="00E72308" w:rsidP="00F355C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ТЕХНИЧЕСКИЕ ХАРАКТЕРИСТИКИ: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53"/>
        </w:trPr>
        <w:tc>
          <w:tcPr>
            <w:tcW w:w="1696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Основание:</w:t>
            </w:r>
          </w:p>
        </w:tc>
        <w:tc>
          <w:tcPr>
            <w:tcW w:w="2835" w:type="dxa"/>
          </w:tcPr>
          <w:p w:rsidR="00637D6C" w:rsidRPr="00CB3229" w:rsidRDefault="00E72308" w:rsidP="0094176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Полиуретан/акрилат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Диффузионные характеристики:</w:t>
            </w:r>
          </w:p>
        </w:tc>
        <w:tc>
          <w:tcPr>
            <w:tcW w:w="2835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Проницаемая для водяного пара в два слоя, каждый 0,1 л/м2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Удельная плотность:</w:t>
            </w:r>
          </w:p>
        </w:tc>
        <w:tc>
          <w:tcPr>
            <w:tcW w:w="2835" w:type="dxa"/>
            <w:vAlign w:val="bottom"/>
          </w:tcPr>
          <w:p w:rsidR="00637D6C" w:rsidRPr="00CB3229" w:rsidRDefault="00E72308" w:rsidP="0094176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1,2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c>
          <w:tcPr>
            <w:tcW w:w="1696" w:type="dxa"/>
          </w:tcPr>
          <w:p w:rsidR="00637D6C" w:rsidRPr="00CB3229" w:rsidRDefault="00E72308" w:rsidP="00941765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Время твердения:</w:t>
            </w:r>
          </w:p>
        </w:tc>
        <w:tc>
          <w:tcPr>
            <w:tcW w:w="2835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Выждать около 3 часов до нанесения следующего слоя.</w:t>
            </w:r>
          </w:p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Пол может быть введён в эксплуатацию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через 12 часов. Полной износостойкости покрытие достигает через 5-7 дней.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Температура поверхности должна быть не ниже:</w:t>
            </w:r>
          </w:p>
        </w:tc>
        <w:tc>
          <w:tcPr>
            <w:tcW w:w="2835" w:type="dxa"/>
            <w:vAlign w:val="bottom"/>
          </w:tcPr>
          <w:p w:rsidR="00637D6C" w:rsidRPr="00CB3229" w:rsidRDefault="00E72308" w:rsidP="00D61866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+ 5°C</w:t>
            </w:r>
          </w:p>
        </w:tc>
        <w:tc>
          <w:tcPr>
            <w:tcW w:w="284" w:type="dxa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F945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Блеск:</w:t>
            </w:r>
          </w:p>
        </w:tc>
        <w:tc>
          <w:tcPr>
            <w:tcW w:w="2835" w:type="dxa"/>
          </w:tcPr>
          <w:p w:rsidR="00637D6C" w:rsidRPr="00CB3229" w:rsidRDefault="00E72308" w:rsidP="00032F4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Около 40 (полуглянцевая)</w:t>
            </w:r>
          </w:p>
        </w:tc>
        <w:tc>
          <w:tcPr>
            <w:tcW w:w="284" w:type="dxa"/>
            <w:vMerge w:val="restart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Пожароопасность:</w:t>
            </w:r>
          </w:p>
        </w:tc>
        <w:tc>
          <w:tcPr>
            <w:tcW w:w="2835" w:type="dxa"/>
          </w:tcPr>
          <w:p w:rsidR="00637D6C" w:rsidRPr="00CB3229" w:rsidRDefault="00E72308" w:rsidP="00032F4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Непожароопасна</w:t>
            </w:r>
          </w:p>
        </w:tc>
        <w:tc>
          <w:tcPr>
            <w:tcW w:w="284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Расход материала:</w:t>
            </w:r>
          </w:p>
        </w:tc>
        <w:tc>
          <w:tcPr>
            <w:tcW w:w="2835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1 л покрывает примерно 10 м2/слой.</w:t>
            </w:r>
          </w:p>
        </w:tc>
        <w:tc>
          <w:tcPr>
            <w:tcW w:w="284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637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Срок годности:</w:t>
            </w:r>
          </w:p>
        </w:tc>
        <w:tc>
          <w:tcPr>
            <w:tcW w:w="2835" w:type="dxa"/>
          </w:tcPr>
          <w:p w:rsidR="00637D6C" w:rsidRPr="00CB3229" w:rsidRDefault="00E72308" w:rsidP="00032F4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2 года. Хранить в защищённом от холода месте.</w:t>
            </w:r>
          </w:p>
        </w:tc>
        <w:tc>
          <w:tcPr>
            <w:tcW w:w="284" w:type="dxa"/>
            <w:vMerge w:val="restart"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 w:val="restar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1495"/>
            </w:tblGrid>
            <w:tr w:rsidR="00555472" w:rsidRPr="00CB3229" w:rsidTr="00BA17CD">
              <w:tc>
                <w:tcPr>
                  <w:tcW w:w="4303" w:type="dxa"/>
                  <w:gridSpan w:val="2"/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CE</w:t>
                  </w:r>
                </w:p>
              </w:tc>
            </w:tr>
            <w:tr w:rsidR="00555472" w:rsidRPr="00CB3229" w:rsidTr="00BA17CD">
              <w:tc>
                <w:tcPr>
                  <w:tcW w:w="4303" w:type="dxa"/>
                  <w:gridSpan w:val="2"/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Hagmans Kemi AB</w:t>
                  </w:r>
                </w:p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а/я 112</w:t>
                  </w:r>
                </w:p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51110 Фритсла</w:t>
                  </w:r>
                </w:p>
              </w:tc>
            </w:tr>
            <w:tr w:rsidR="00555472" w:rsidRPr="00CB3229" w:rsidTr="00BA17CD">
              <w:tc>
                <w:tcPr>
                  <w:tcW w:w="4303" w:type="dxa"/>
                  <w:gridSpan w:val="2"/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13</w:t>
                  </w:r>
                </w:p>
              </w:tc>
            </w:tr>
            <w:tr w:rsidR="00555472" w:rsidRPr="00CB3229" w:rsidTr="00BA17CD">
              <w:tc>
                <w:tcPr>
                  <w:tcW w:w="4303" w:type="dxa"/>
                  <w:gridSpan w:val="2"/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EN 1504-2</w:t>
                  </w:r>
                </w:p>
              </w:tc>
            </w:tr>
            <w:tr w:rsidR="00555472" w:rsidRPr="00CB3229" w:rsidTr="00BA17CD">
              <w:tc>
                <w:tcPr>
                  <w:tcW w:w="4303" w:type="dxa"/>
                  <w:gridSpan w:val="2"/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39511-002</w:t>
                  </w:r>
                </w:p>
              </w:tc>
            </w:tr>
            <w:tr w:rsidR="00555472" w:rsidRPr="00CB3229" w:rsidTr="00BA17CD">
              <w:tc>
                <w:tcPr>
                  <w:tcW w:w="4303" w:type="dxa"/>
                  <w:gridSpan w:val="2"/>
                  <w:tcBorders>
                    <w:bottom w:val="single" w:sz="4" w:space="0" w:color="auto"/>
                  </w:tcBorders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Продукт для защиты бетонных поверхностей Покрытие</w:t>
                  </w:r>
                </w:p>
              </w:tc>
            </w:tr>
            <w:tr w:rsidR="00555472" w:rsidRPr="00CB3229" w:rsidTr="00BA17CD">
              <w:trPr>
                <w:trHeight w:val="70"/>
              </w:trPr>
              <w:tc>
                <w:tcPr>
                  <w:tcW w:w="2808" w:type="dxa"/>
                  <w:tcBorders>
                    <w:bottom w:val="nil"/>
                  </w:tcBorders>
                </w:tcPr>
                <w:p w:rsidR="00372055" w:rsidRPr="00CB3229" w:rsidRDefault="00E72308" w:rsidP="00372055">
                  <w:pPr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Класс огнестойкости:</w:t>
                  </w:r>
                </w:p>
              </w:tc>
              <w:tc>
                <w:tcPr>
                  <w:tcW w:w="1495" w:type="dxa"/>
                  <w:tcBorders>
                    <w:bottom w:val="nil"/>
                  </w:tcBorders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B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  <w:vertAlign w:val="subscript"/>
                    </w:rPr>
                    <w:t>fl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-s1</w:t>
                  </w:r>
                </w:p>
              </w:tc>
            </w:tr>
            <w:tr w:rsidR="00555472" w:rsidRPr="00CB3229" w:rsidTr="00BA17CD">
              <w:trPr>
                <w:trHeight w:val="132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372055" w:rsidRPr="00CB3229" w:rsidRDefault="00E72308" w:rsidP="00372055">
                  <w:pPr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Проницаемость для водяного пара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Класс I</w:t>
                  </w:r>
                </w:p>
              </w:tc>
            </w:tr>
            <w:tr w:rsidR="00555472" w:rsidRPr="00CB3229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372055" w:rsidRPr="00CB3229" w:rsidRDefault="00E72308" w:rsidP="00372055">
                  <w:pPr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Капиллярная абсорбция и водопроницаемость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вес &lt; 0,1 кг/м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  <w:t>2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ч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  <w:t>0,5</w:t>
                  </w:r>
                </w:p>
              </w:tc>
            </w:tr>
            <w:tr w:rsidR="00555472" w:rsidRPr="00CB3229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</w:tcBorders>
                </w:tcPr>
                <w:p w:rsidR="00372055" w:rsidRPr="00CB3229" w:rsidRDefault="00E72308" w:rsidP="00372055">
                  <w:pPr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Прочность сцепления</w:t>
                  </w:r>
                </w:p>
              </w:tc>
              <w:tc>
                <w:tcPr>
                  <w:tcW w:w="1495" w:type="dxa"/>
                  <w:tcBorders>
                    <w:top w:val="nil"/>
                  </w:tcBorders>
                </w:tcPr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</w:p>
                <w:p w:rsidR="00372055" w:rsidRPr="00CB3229" w:rsidRDefault="00E72308" w:rsidP="003720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pP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</w:rPr>
                    <w:t>&gt;2,0 Н/мм</w:t>
                  </w:r>
                  <w:r w:rsidRPr="00CB3229"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D61866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Содержание сухой массы:</w:t>
            </w:r>
          </w:p>
        </w:tc>
        <w:tc>
          <w:tcPr>
            <w:tcW w:w="2835" w:type="dxa"/>
          </w:tcPr>
          <w:p w:rsidR="00637D6C" w:rsidRPr="00CB3229" w:rsidRDefault="00E72308" w:rsidP="00032F4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Прибл. 47% по массе</w:t>
            </w:r>
          </w:p>
        </w:tc>
        <w:tc>
          <w:tcPr>
            <w:tcW w:w="284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70"/>
        </w:trPr>
        <w:tc>
          <w:tcPr>
            <w:tcW w:w="1696" w:type="dxa"/>
          </w:tcPr>
          <w:p w:rsidR="00637D6C" w:rsidRPr="00CB3229" w:rsidRDefault="00E72308" w:rsidP="00D61866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37D6C" w:rsidRPr="00CB3229" w:rsidRDefault="00E72308" w:rsidP="00032F4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55472" w:rsidRPr="00CB3229" w:rsidTr="00372055">
        <w:trPr>
          <w:trHeight w:val="537"/>
        </w:trPr>
        <w:tc>
          <w:tcPr>
            <w:tcW w:w="4531" w:type="dxa"/>
            <w:gridSpan w:val="2"/>
          </w:tcPr>
          <w:p w:rsidR="00637D6C" w:rsidRPr="00CB3229" w:rsidRDefault="00E72308" w:rsidP="00637D6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B3229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Подготовка: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 xml:space="preserve"> Новые цементные поверхности должны затвердевать не менее 1 недели, быть сухими, без грязи, масла и тому подобного. Цементная плёнка должна быть удалена, например, шлифованием, пескоструйной обработкой или кислотной промывкой перед применением краски для п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ола EP-V Hagmans. Необработанные деревянные поверхности и сучки должны быть покрыты лаком для сучков, а затем грунтовкой для дерева/столярных изделий, чтобы уменьшить риск появления пятен от древесных смол (это особенно касается деревянных поверхностей, ок</w:t>
            </w:r>
            <w:r w:rsidRPr="00CB3229">
              <w:rPr>
                <w:rFonts w:ascii="Times New Roman" w:hAnsi="Times New Roman" w:cs="Times New Roman"/>
                <w:sz w:val="18"/>
                <w:szCs w:val="20"/>
              </w:rPr>
              <w:t>рашиваемых в белый или светлый цвет).</w:t>
            </w:r>
          </w:p>
        </w:tc>
        <w:tc>
          <w:tcPr>
            <w:tcW w:w="284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529" w:type="dxa"/>
            <w:vMerge/>
          </w:tcPr>
          <w:p w:rsidR="00637D6C" w:rsidRPr="00CB3229" w:rsidRDefault="00E72308" w:rsidP="0065495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65495C" w:rsidRPr="00CB3229" w:rsidRDefault="00E72308" w:rsidP="0065495C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bookmarkStart w:id="0" w:name="_GoBack"/>
      <w:bookmarkEnd w:id="0"/>
    </w:p>
    <w:sectPr w:rsidR="0065495C" w:rsidRPr="00CB3229" w:rsidSect="0065495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08" w:rsidRDefault="00E72308">
      <w:pPr>
        <w:spacing w:after="0" w:line="240" w:lineRule="auto"/>
      </w:pPr>
      <w:r>
        <w:separator/>
      </w:r>
    </w:p>
  </w:endnote>
  <w:endnote w:type="continuationSeparator" w:id="0">
    <w:p w:rsidR="00E72308" w:rsidRDefault="00E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387"/>
    </w:tblGrid>
    <w:tr w:rsidR="00555472" w:rsidTr="003367B5">
      <w:tc>
        <w:tcPr>
          <w:tcW w:w="9344" w:type="dxa"/>
          <w:gridSpan w:val="2"/>
        </w:tcPr>
        <w:p w:rsidR="003367B5" w:rsidRPr="003367B5" w:rsidRDefault="00E72308" w:rsidP="003367B5">
          <w:pPr>
            <w:pStyle w:val="a8"/>
            <w:rPr>
              <w:rFonts w:ascii="Times New Roman" w:hAnsi="Times New Roman" w:cs="Times New Roman"/>
              <w:sz w:val="8"/>
              <w:lang w:val="en-US"/>
            </w:rPr>
          </w:pPr>
        </w:p>
      </w:tc>
    </w:tr>
    <w:tr w:rsidR="00555472" w:rsidTr="003367B5">
      <w:tc>
        <w:tcPr>
          <w:tcW w:w="9344" w:type="dxa"/>
          <w:gridSpan w:val="2"/>
        </w:tcPr>
        <w:p w:rsidR="003367B5" w:rsidRPr="003367B5" w:rsidRDefault="00E72308" w:rsidP="003367B5">
          <w:pPr>
            <w:pStyle w:val="a8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Hagmans Kemi AB, 511 10 ФРИТСЛА, Швеция, Тел.: +46 320 189 10, Факс: +46 320 723</w:t>
          </w:r>
          <w:r w:rsidRPr="003367B5">
            <w:rPr>
              <w:rFonts w:ascii="Times New Roman" w:hAnsi="Times New Roman" w:cs="Times New Roman"/>
              <w:sz w:val="20"/>
            </w:rPr>
            <w:t xml:space="preserve"> 94</w:t>
          </w:r>
        </w:p>
      </w:tc>
    </w:tr>
    <w:tr w:rsidR="00555472" w:rsidTr="003367B5">
      <w:tc>
        <w:tcPr>
          <w:tcW w:w="4957" w:type="dxa"/>
        </w:tcPr>
        <w:p w:rsidR="003367B5" w:rsidRPr="003367B5" w:rsidRDefault="00E72308" w:rsidP="003367B5">
          <w:pPr>
            <w:pStyle w:val="a8"/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E-</w:t>
          </w:r>
          <w:proofErr w:type="spellStart"/>
          <w:r w:rsidRPr="003367B5">
            <w:rPr>
              <w:rFonts w:ascii="Times New Roman" w:hAnsi="Times New Roman" w:cs="Times New Roman"/>
              <w:sz w:val="20"/>
            </w:rPr>
            <w:t>mail</w:t>
          </w:r>
          <w:proofErr w:type="spellEnd"/>
          <w:r w:rsidRPr="003367B5">
            <w:rPr>
              <w:rFonts w:ascii="Times New Roman" w:hAnsi="Times New Roman" w:cs="Times New Roman"/>
              <w:sz w:val="20"/>
            </w:rPr>
            <w:t xml:space="preserve">: </w:t>
          </w:r>
          <w:hyperlink r:id="rId1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infobygg@hagmans.se</w:t>
            </w:r>
          </w:hyperlink>
        </w:p>
      </w:tc>
      <w:tc>
        <w:tcPr>
          <w:tcW w:w="4387" w:type="dxa"/>
        </w:tcPr>
        <w:p w:rsidR="003367B5" w:rsidRPr="003367B5" w:rsidRDefault="00E72308" w:rsidP="003367B5">
          <w:pPr>
            <w:pStyle w:val="a8"/>
            <w:rPr>
              <w:rFonts w:ascii="Times New Roman" w:hAnsi="Times New Roman" w:cs="Times New Roman"/>
              <w:sz w:val="20"/>
              <w:lang w:val="en-US"/>
            </w:rPr>
          </w:pPr>
          <w:hyperlink r:id="rId2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www.hagmans.com</w:t>
            </w:r>
          </w:hyperlink>
        </w:p>
      </w:tc>
    </w:tr>
  </w:tbl>
  <w:p w:rsidR="003367B5" w:rsidRPr="003367B5" w:rsidRDefault="00E72308" w:rsidP="003367B5">
    <w:pPr>
      <w:pStyle w:val="a8"/>
      <w:jc w:val="center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08" w:rsidRDefault="00E72308">
      <w:pPr>
        <w:spacing w:after="0" w:line="240" w:lineRule="auto"/>
      </w:pPr>
      <w:r>
        <w:separator/>
      </w:r>
    </w:p>
  </w:footnote>
  <w:footnote w:type="continuationSeparator" w:id="0">
    <w:p w:rsidR="00E72308" w:rsidRDefault="00E7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4"/>
    </w:tblGrid>
    <w:tr w:rsidR="00555472" w:rsidTr="00F945A6">
      <w:tc>
        <w:tcPr>
          <w:tcW w:w="9344" w:type="dxa"/>
          <w:gridSpan w:val="2"/>
        </w:tcPr>
        <w:p w:rsidR="00F945A6" w:rsidRDefault="00E72308">
          <w:pPr>
            <w:pStyle w:val="a6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4"/>
            </w:rPr>
            <w:t>/Логотип: HAGMANS®/</w:t>
          </w:r>
        </w:p>
      </w:tc>
    </w:tr>
    <w:tr w:rsidR="00555472" w:rsidTr="00F945A6">
      <w:tc>
        <w:tcPr>
          <w:tcW w:w="7650" w:type="dxa"/>
        </w:tcPr>
        <w:p w:rsidR="00F945A6" w:rsidRDefault="00E72308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4" w:type="dxa"/>
        </w:tcPr>
        <w:p w:rsidR="00F945A6" w:rsidRDefault="00E72308" w:rsidP="00F945A6">
          <w:pPr>
            <w:pStyle w:val="a6"/>
            <w:jc w:val="center"/>
            <w:rPr>
              <w:rFonts w:ascii="Times New Roman" w:hAnsi="Times New Roman" w:cs="Times New Roman"/>
              <w:sz w:val="20"/>
            </w:rPr>
          </w:pPr>
          <w:r w:rsidRPr="00637D6C">
            <w:rPr>
              <w:rFonts w:ascii="Times New Roman" w:hAnsi="Times New Roman" w:cs="Times New Roman"/>
              <w:sz w:val="20"/>
            </w:rPr>
            <w:t>26.09.2013 г.</w:t>
          </w:r>
        </w:p>
      </w:tc>
    </w:tr>
    <w:tr w:rsidR="00555472" w:rsidTr="00F945A6">
      <w:tc>
        <w:tcPr>
          <w:tcW w:w="9344" w:type="dxa"/>
          <w:gridSpan w:val="2"/>
        </w:tcPr>
        <w:p w:rsidR="00F945A6" w:rsidRDefault="00E72308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</w:tr>
    <w:tr w:rsidR="00555472" w:rsidTr="00F945A6">
      <w:tc>
        <w:tcPr>
          <w:tcW w:w="9344" w:type="dxa"/>
          <w:gridSpan w:val="2"/>
        </w:tcPr>
        <w:p w:rsidR="00F945A6" w:rsidRPr="00F945A6" w:rsidRDefault="00E72308">
          <w:pPr>
            <w:pStyle w:val="a6"/>
            <w:rPr>
              <w:rFonts w:ascii="Times New Roman" w:hAnsi="Times New Roman" w:cs="Times New Roman"/>
              <w:sz w:val="20"/>
              <w:lang w:val="en-US"/>
            </w:rPr>
          </w:pPr>
          <w:r w:rsidRPr="00637D6C">
            <w:rPr>
              <w:rFonts w:ascii="Times New Roman" w:hAnsi="Times New Roman" w:cs="Times New Roman"/>
              <w:b/>
              <w:sz w:val="32"/>
            </w:rPr>
            <w:t>Краска для пола 1К</w:t>
          </w:r>
        </w:p>
      </w:tc>
    </w:tr>
    <w:tr w:rsidR="00555472" w:rsidTr="00F945A6">
      <w:tc>
        <w:tcPr>
          <w:tcW w:w="9344" w:type="dxa"/>
          <w:gridSpan w:val="2"/>
        </w:tcPr>
        <w:p w:rsidR="00F945A6" w:rsidRPr="00F945A6" w:rsidRDefault="00E72308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945A6" w:rsidRPr="00F945A6" w:rsidRDefault="00E72308">
    <w:pPr>
      <w:pStyle w:val="a6"/>
      <w:rPr>
        <w:rFonts w:ascii="Times New Roman" w:hAnsi="Times New Roman" w:cs="Times New Roman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72"/>
    <w:rsid w:val="00555472"/>
    <w:rsid w:val="00CB3229"/>
    <w:rsid w:val="00E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mans.com" TargetMode="External"/><Relationship Id="rId1" Type="http://schemas.openxmlformats.org/officeDocument/2006/relationships/hyperlink" Target="mailto:infobygg@hagmans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09CC-1924-4E9A-8E6A-E4AB4095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2580</Characters>
  <Application>Microsoft Office Word</Application>
  <DocSecurity>0</DocSecurity>
  <Lines>138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5</cp:revision>
  <dcterms:created xsi:type="dcterms:W3CDTF">2019-08-05T18:45:00Z</dcterms:created>
  <dcterms:modified xsi:type="dcterms:W3CDTF">2019-08-07T12:07:00Z</dcterms:modified>
</cp:coreProperties>
</file>